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Estampado en serigrafía (por prenda, por ubicación)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Matriz o shablón (por color)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Estampado en DTF, vinilo o sublimación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Prenda lisa: remera, buzo o bolsa (por unidad)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Diseño o adaptación del archivo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precio por unidad depende de la cantidad final, la cantidad de colores y el tamaño del diseño.</w:t>
      </w:r>
    </w:p>
    <w:p>
      <w:r>
        <w:t>El plazo de entrega corre desde la aprobación del diseño y el pago de la seña.</w:t>
      </w:r>
    </w:p>
    <w:p>
      <w:r>
        <w:t>Los colores impresos pueden variar levemente respecto a la pantalla.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