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COTIZACIÓN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Polarizado de vidrios laterales y luneta (por vehículo)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Lámina de seguridad o antivandálica (por vidrio)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Estéreo o radio multimedia (equipo)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Parlantes (por par)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Instalación de equipo de audio y cableado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Retiro de polarizado anterior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grado de oscurecimiento se elige respetando la normativa de tránsito vigente.</w:t>
      </w:r>
    </w:p>
    <w:p>
      <w:r>
        <w:t>Las láminas requieren unos días sin bajar las ventanillas para un secado correcto.</w:t>
      </w:r>
    </w:p>
    <w:p>
      <w:r>
        <w:t>La garantía de láminas y equipos corresponde a la indicada por cada fabricante.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