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Animación de fiesta (por hora)</w:t>
            </w:r>
          </w:p>
        </w:tc>
        <w:tc>
          <w:tcPr>
            <w:tcW w:type="dxa" w:w="907"/>
          </w:tcPr>
          <w:p>
            <w:r>
              <w:t>2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Animadores adicionales (por persona)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Juegos, música y show temático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Pintacaritas o globología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Traslado al lugar del evento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Animación pensada para la cantidad de niños indicada.</w:t>
      </w:r>
    </w:p>
    <w:p>
      <w:r>
        <w:t>El lugar debe contar con espacio y conexión eléctrica para el equipo de sonido.</w:t>
      </w:r>
    </w:p>
    <w:p>
      <w:r>
        <w:t>Las horas extra se cobran por fracción acordada.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