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Anteproyecto (por m²)</w:t>
            </w:r>
          </w:p>
        </w:tc>
        <w:tc>
          <w:tcPr>
            <w:tcW w:type="dxa" w:w="907"/>
          </w:tcPr>
          <w:p>
            <w:r>
              <w:t>120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Proyecto ejecutivo y planos de detalle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Documentación para permisos municipales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Renders o visualizaciones 3D (por imagen)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Dirección de obra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honorarios se abonan por etapa de entrega.</w:t>
      </w:r>
    </w:p>
    <w:p>
      <w:r>
        <w:t>No incluye tasas, derechos ni sellados municipales.</w:t>
      </w:r>
    </w:p>
    <w:p>
      <w:r>
        <w:t>Los cambios sustanciales sobre el proyecto aprobado se presupuestan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