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Motor para portón corredizo o batiente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Instalación y puesta en marcha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Controles remotos (por unidad)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Fotocélulas de seguridad (par)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Abono de mantenimiento mensual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Se requiere que el portón esté nivelado y en buen estado mecánico antes de motorizar.</w:t>
      </w:r>
    </w:p>
    <w:p>
      <w:r>
        <w:t>La instalación eléctrica hasta el motor no está incluida salvo que se indique.</w:t>
      </w:r>
    </w:p>
    <w:p>
      <w:r>
        <w:t>Garantía del motor según el fabricante y de la instalación según lo indicado.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