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Barra libre de tragos (por persona, horas indicadas)</w:t>
            </w:r>
          </w:p>
        </w:tc>
        <w:tc>
          <w:tcPr>
            <w:tcW w:type="dxa" w:w="907"/>
          </w:tcPr>
          <w:p>
            <w:r>
              <w:t>100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Bartenders (por persona de staff)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Barra móvil y cristalería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Hielo y frutas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Hora adicional de barra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servicio se cotiza para la cantidad de invitados adultos confirmados.</w:t>
      </w:r>
    </w:p>
    <w:p>
      <w:r>
        <w:t>Incluye armado de la barra antes del evento y retiro al finalizar.</w:t>
      </w:r>
    </w:p>
    <w:p>
      <w:r>
        <w:t>No incluye bebidas sin alcohol de la mesa salvo que se indique.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