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Césped sintético (por m²)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Preparación y nivelación de base (por m²)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Colocación, pegado de uniones y demarcación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Relleno de arena y caucho (por m²)</w:t>
            </w:r>
          </w:p>
        </w:tc>
        <w:tc>
          <w:tcPr>
            <w:tcW w:type="dxa" w:w="907"/>
          </w:tcPr>
          <w:p>
            <w:r>
              <w:t>100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Cerramiento perimetral con red (por metro)</w:t>
            </w:r>
          </w:p>
        </w:tc>
        <w:tc>
          <w:tcPr>
            <w:tcW w:type="dxa" w:w="907"/>
          </w:tcPr>
          <w:p>
            <w:r>
              <w:t>40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tipo de césped se elige según el uso: deportivo o decorativo.</w:t>
      </w:r>
    </w:p>
    <w:p>
      <w:r>
        <w:t>La base existente se evalúa en visita previa y puede requerir trabajos adicionales.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