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Clase individual (por clase)</w:t>
            </w:r>
          </w:p>
        </w:tc>
        <w:tc>
          <w:tcPr>
            <w:tcW w:type="dxa" w:w="907"/>
          </w:tcPr>
          <w:p>
            <w:r>
              <w:t>8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Clase grupal o in-company (por clase)</w:t>
            </w:r>
          </w:p>
        </w:tc>
        <w:tc>
          <w:tcPr>
            <w:tcW w:type="dxa" w:w="907"/>
          </w:tcPr>
          <w:p>
            <w:r>
              <w:t>8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Prueba de nivel inicial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 de estudio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Preparación para examen internacional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Se realiza una prueba de nivel antes de comenzar.</w:t>
      </w:r>
    </w:p>
    <w:p>
      <w:r>
        <w:t>Las clases canceladas con aviso previo se reprograman; sin aviso se consideran dictadas.</w:t>
      </w:r>
    </w:p>
    <w:p>
      <w:r>
        <w:t>Los aranceles de exámenes internacionales no están incluidos.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