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Tasación de la propiedad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Comisión por venta o alquiler (% sobre el valor de la operación)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Fotografía profesional y publicación en portales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Gestión de documentación de la operación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comisión se abona al concretarse la operación, en las condiciones pactadas.</w:t>
      </w:r>
    </w:p>
    <w:p>
      <w:r>
        <w:t>Los honorarios de escribanía, gastos notariales e impuestos de la operación no están incluidos.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