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Diseño de logotipo e identidad visual (proyecto)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Propuestas iniciales de diseño</w:t>
            </w:r>
          </w:p>
        </w:tc>
        <w:tc>
          <w:tcPr>
            <w:tcW w:type="dxa" w:w="907"/>
          </w:tcPr>
          <w:p>
            <w:r>
              <w:t>3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Manual de marca básico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Adaptaciones para redes sociales (por pieza)</w:t>
            </w:r>
          </w:p>
        </w:tc>
        <w:tc>
          <w:tcPr>
            <w:tcW w:type="dxa" w:w="907"/>
          </w:tcPr>
          <w:p>
            <w:r>
              <w:t>5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Entrega de archivos editables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Incluye dos rondas de cambios sobre la propuesta elegida.</w:t>
      </w:r>
    </w:p>
    <w:p>
      <w:r>
        <w:t>Los archivos finales se entregan una vez saldado el total.</w:t>
      </w:r>
    </w:p>
    <w:p>
      <w:r>
        <w:t>La impresión no está incluida.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