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Honorarios por escritura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Estudio de títulos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Certificados e informes registrales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Impuestos y tasas (según liquidación)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Certificación de firmas (por firma)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impuestos y tasas se informan según la liquidación vigente al momento de la firma.</w:t>
      </w:r>
    </w:p>
    <w:p>
      <w:r>
        <w:t>El presupuesto puede ajustarse si cambia el valor de la operación.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