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Servicio de gastronomía (por persona)</w:t>
            </w:r>
          </w:p>
        </w:tc>
        <w:tc>
          <w:tcPr>
            <w:tcW w:type="dxa" w:w="907"/>
          </w:tcPr>
          <w:p>
            <w:r>
              <w:t>50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Alquiler de salón o espacio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Ambientación y decoración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Música, sonido e iluminación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Personal de servicio (por mozo)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Coordinación del evento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precio por persona se calcula sobre la cantidad mínima de invitados indicada.</w:t>
      </w:r>
    </w:p>
    <w:p>
      <w:r>
        <w:t>La cantidad final de invitados se confirma antes del evento.</w:t>
      </w:r>
    </w:p>
    <w:p>
      <w:r>
        <w:t>Saldo a abonar antes de la fecha del evento.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