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Honorarios de gestión de transferencia (por trámite)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Aranceles y tasas oficiales (según comprobante)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Verificación o inspección del vehículo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Formularios y certificaciones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aranceles oficiales se informan aparte y pueden variar según el organismo.</w:t>
      </w:r>
    </w:p>
    <w:p>
      <w:r>
        <w:t>El plazo depende de los tiempos del registro u oficina correspondiente.</w:t>
      </w:r>
    </w:p>
    <w:p>
      <w:r>
        <w:t>Se requiere la documentación completa del vehículo y de las partes.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