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Hormigón impreso con color y molde (por m²)</w:t>
            </w:r>
          </w:p>
        </w:tc>
        <w:tc>
          <w:tcPr>
            <w:tcW w:type="dxa" w:w="907"/>
          </w:tcPr>
          <w:p>
            <w:r>
              <w:t>50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Preparación de base y compactación (por m²)</w:t>
            </w:r>
          </w:p>
        </w:tc>
        <w:tc>
          <w:tcPr>
            <w:tcW w:type="dxa" w:w="907"/>
          </w:tcPr>
          <w:p>
            <w:r>
              <w:t>50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Malla de refuerzo (por m²)</w:t>
            </w:r>
          </w:p>
        </w:tc>
        <w:tc>
          <w:tcPr>
            <w:tcW w:type="dxa" w:w="907"/>
          </w:tcPr>
          <w:p>
            <w:r>
              <w:t>50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Sellador y terminación (por m²)</w:t>
            </w:r>
          </w:p>
        </w:tc>
        <w:tc>
          <w:tcPr>
            <w:tcW w:type="dxa" w:w="907"/>
          </w:tcPr>
          <w:p>
            <w:r>
              <w:t>50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Juntas de dilatación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El diseño y color se eligen de un muestrario antes de iniciar.</w:t>
      </w:r>
    </w:p>
    <w:p>
      <w:r>
        <w:t>Se recomienda no transitar la superficie hasta el plazo de curado indicado.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