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Folletos A5 a color doble faz (por unidad)</w:t>
            </w:r>
          </w:p>
        </w:tc>
        <w:tc>
          <w:tcPr>
            <w:tcW w:type="dxa" w:w="907"/>
          </w:tcPr>
          <w:p>
            <w:r>
              <w:t>1000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Tarjetas personales (por unidad)</w:t>
            </w:r>
          </w:p>
        </w:tc>
        <w:tc>
          <w:tcPr>
            <w:tcW w:type="dxa" w:w="907"/>
          </w:tcPr>
          <w:p>
            <w:r>
              <w:t>500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Diseño o adaptación del archivo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Terminación: laminado, troquelado o plegado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impresión comienza una vez aprobada la prueba de color o el archivo final.</w:t>
      </w:r>
    </w:p>
    <w:p>
      <w:r>
        <w:t>Puede haber pequeñas variaciones de tono entre la pantalla y el impreso.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