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Impresión de pieza en PLA (por pieza)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Material consumido (por gramo)</w:t>
            </w:r>
          </w:p>
        </w:tc>
        <w:tc>
          <w:tcPr>
            <w:tcW w:type="dxa" w:w="907"/>
          </w:tcPr>
          <w:p>
            <w:r>
              <w:t>100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Modelado 3D a partir de plano o boceto (por hora)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Post-procesado: retiro de soportes, lijado o pintura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tiempo de impresión se estima a partir del archivo laminado y puede variar levemente.</w:t>
      </w:r>
    </w:p>
    <w:p>
      <w:r>
        <w:t>Los cambios al modelo después de aprobado se cotizan aparte.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