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Corte de césped y bordeado (por visita)</w:t>
            </w:r>
          </w:p>
        </w:tc>
        <w:tc>
          <w:tcPr>
            <w:tcW w:type="dxa" w:w="907"/>
          </w:tcPr>
          <w:p>
            <w:r>
              <w:t>4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Poda de árboles y arbustos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Limpieza y retiro de restos verdes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Colocación de césped en panes (por m²)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Plantas, tierra y abonos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El mantenimiento mensual contempla la cantidad de visitas indicada.</w:t>
      </w:r>
    </w:p>
    <w:p>
      <w:r>
        <w:t>Los restos de poda se retiran salvo que se indique lo contrario.</w:t>
      </w:r>
    </w:p>
    <w:p>
      <w:r>
        <w:t>Las plantas e insumos se cotizan aparte.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