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Grabación de locución para spot publicitario (por spot)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Edición y limpieza de audio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Derechos de uso de la voz (medio y período)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Ronda adicional de cambios de guion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una ronda de correcciones por tono o pronunciación; los cambios de guion posteriores se cotizan aparte.</w:t>
      </w:r>
    </w:p>
    <w:p>
      <w:r>
        <w:t>Los derechos de uso se limitan al medio, territorio y período indicados.</w:t>
      </w:r>
    </w:p>
    <w:p>
      <w:r>
        <w:t>Se entrega el audio en formato WAV y MP3.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