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Sesión de masaje (por sesión, duración indicada)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Tratamiento facial (por sesión)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Paquete de sesiones de tratamiento corporal</w:t>
            </w:r>
          </w:p>
        </w:tc>
        <w:tc>
          <w:tcPr>
            <w:tcW w:type="dxa" w:w="907"/>
          </w:tcPr>
          <w:p>
            <w:r>
              <w:t>6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Evaluación inicial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Los paquetes de sesiones tienen un plazo de uso indicado en el presupuesto.</w:t>
      </w:r>
    </w:p>
    <w:p>
      <w:r>
        <w:t>Los turnos cancelados sin aviso previo se descuentan del paquete.</w:t>
      </w:r>
    </w:p>
    <w:p>
      <w:r>
        <w:t>Los resultados de los tratamientos varían según cada persona.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