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Torta principal (por porción)</w:t>
            </w:r>
          </w:p>
        </w:tc>
        <w:tc>
          <w:tcPr>
            <w:tcW w:type="dxa" w:w="907"/>
          </w:tcPr>
          <w:p>
            <w:r>
              <w:t>50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Mesa dulce (por persona)</w:t>
            </w:r>
          </w:p>
        </w:tc>
        <w:tc>
          <w:tcPr>
            <w:tcW w:type="dxa" w:w="907"/>
          </w:tcPr>
          <w:p>
            <w:r>
              <w:t>50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Piezas personalizadas (cupcakes, galletas, cake pops)</w:t>
            </w:r>
          </w:p>
        </w:tc>
        <w:tc>
          <w:tcPr>
            <w:tcW w:type="dxa" w:w="907"/>
          </w:tcPr>
          <w:p>
            <w:r>
              <w:t>24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Montaje y vajilla de exhibición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Envío al salón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sabores y el diseño se confirman con la seña.</w:t>
      </w:r>
    </w:p>
    <w:p>
      <w:r>
        <w:t>La vajilla de exhibición es en préstamo y se retira al finalizar.</w:t>
      </w:r>
    </w:p>
    <w:p>
      <w:r>
        <w:t>Se recomienda informar alergias o restricciones alimentarias al hacer el pedido.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