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Demolición de construcción existente (global)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Excavación (por m³)</w:t>
            </w:r>
          </w:p>
        </w:tc>
        <w:tc>
          <w:tcPr>
            <w:tcW w:type="dxa" w:w="907"/>
          </w:tcPr>
          <w:p>
            <w:r>
              <w:t>20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Relleno y compactación (por m³)</w:t>
            </w:r>
          </w:p>
        </w:tc>
        <w:tc>
          <w:tcPr>
            <w:tcW w:type="dxa" w:w="907"/>
          </w:tcPr>
          <w:p>
            <w:r>
              <w:t>10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escombros en contenedor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Alquiler de máquina con operador (por hora)</w:t>
            </w:r>
          </w:p>
        </w:tc>
        <w:tc>
          <w:tcPr>
            <w:tcW w:type="dxa" w:w="907"/>
          </w:tcPr>
          <w:p>
            <w:r>
              <w:t>8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retiro de escombros se cotiza según cantidad de contenedores o viajes.</w:t>
      </w:r>
    </w:p>
    <w:p>
      <w:r>
        <w:t>No incluye trámites de permiso de demolición salvo indicación.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