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Embalaje profesional (por m³)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y traslado a depósito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Guardamuebles (por m³ por mes)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Flete internacional (por m³)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Seguro de la carga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volumen final se confirma al cargar; el presupuesto se basa en el relevamiento previo.</w:t>
      </w:r>
    </w:p>
    <w:p>
      <w:r>
        <w:t>Los impuestos, tasas y trámites aduaneros en destino se informan por separado.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