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Consulta inicial con evaluación (por consulta)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Plan de alimentación personalizado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Consultas de seguimiento (por consulta)</w:t>
            </w:r>
          </w:p>
        </w:tc>
        <w:tc>
          <w:tcPr>
            <w:tcW w:type="dxa" w:w="907"/>
          </w:tcPr>
          <w:p>
            <w:r>
              <w:t>3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Mediciones antropométricas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Las consultas pueden ser presenciales o en línea.</w:t>
      </w:r>
    </w:p>
    <w:p>
      <w:r>
        <w:t>El plan se ajusta en cada control de seguimiento incluido.</w:t>
      </w:r>
    </w:p>
    <w:p>
      <w:r>
        <w:t>Las consultas canceladas sin aviso previo se consideran tomadas.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