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Consulta y diagnóstico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Estudios radiográficos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Tratamiento principal (por pieza o por etapa)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Controles de seguimiento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sujeto a la evaluación clínica y a los estudios realizados.</w:t>
      </w:r>
    </w:p>
    <w:p>
      <w:r>
        <w:t>Se puede abonar por etapas del tratamiento.</w:t>
      </w:r>
    </w:p>
    <w:p>
      <w:r>
        <w:t>Los materiales o piezas protésicas se detallan por separado cuando corresponde.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