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Paseo grupal (por paseo)</w:t>
            </w:r>
          </w:p>
        </w:tc>
        <w:tc>
          <w:tcPr>
            <w:tcW w:type="dxa" w:w="907"/>
          </w:tcPr>
          <w:p>
            <w:r>
              <w:t>20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Paseo individual (por paseo)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Abono mensual de lunes a viernes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Visita a domicilio para alimentar y acompañar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El perro debe tener las vacunas al día y collar, correa o arnés en buen estado.</w:t>
      </w:r>
    </w:p>
    <w:p>
      <w:r>
        <w:t>Los paseos no cancelados con anticipación se cobran según el abono.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