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Visita y diagnóstico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Reparación de pérdida o cambio de cañería (por tramo)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Instalación de grifería o sanitario (por unidad)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Destapación de desagüe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Materiales: caños, conexiones y accesorios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Los materiales se detallan por separado.</w:t>
      </w:r>
    </w:p>
    <w:p>
      <w:r>
        <w:t>No incluye roturas ni reparación de revestimientos salvo que se indique.</w:t>
      </w:r>
    </w:p>
    <w:p>
      <w:r>
        <w:t>Garantía sobre la mano de obra según lo acordado.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