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Vinilo impreso con laminado (por m²)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Vinilo de corte (por m²)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Adaptación del diseño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vinilo anterior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superficie debe estar limpia y sin daños de pintura para garantizar la adherencia.</w:t>
      </w:r>
    </w:p>
    <w:p>
      <w:r>
        <w:t>No incluye reparación de chapa o pintura previa a la colocación.</w:t>
      </w:r>
    </w:p>
    <w:p>
      <w:r>
        <w:t>La durabilidad depende del tipo de vinilo elegido y de la exposición al sol.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