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Demolición y retiro de escombros (global)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Albañilería y terminaciones (global)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Instalación sanitaria y eléctrica (global)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Materiales de obra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Mano de obra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Presupuesto válido para la presentación ante la entidad que otorga el crédito.</w:t>
      </w:r>
    </w:p>
    <w:p>
      <w:r>
        <w:t>Los trabajos se ejecutan en el orden indicado y se certifica cada etapa terminada.</w:t>
      </w:r>
    </w:p>
    <w:p>
      <w:r>
        <w:t>Cualquier tarea fuera de este detalle se presupuesta por separado.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