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Cartel frontal (por m²)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Letras corpóreas (por unidad)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Iluminación LED del cartel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Estructura y soportes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Instalación en altura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Los permisos municipales y tasas de publicidad, si corresponden, no están incluidos salvo que se indique.</w:t>
      </w:r>
    </w:p>
    <w:p>
      <w:r>
        <w:t>Incluye diseño de adaptación del logo; el diseño de marca desde cero se cotiza aparte.</w:t>
      </w:r>
    </w:p>
    <w:p>
      <w:r>
        <w:t>Garantía sobre la instalación y la iluminación según lo indicado en el presupuesto.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