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Horas de servicio profesional (por hora)</w:t>
            </w:r>
          </w:p>
        </w:tc>
        <w:tc>
          <w:tcPr>
            <w:tcW w:type="dxa" w:w="907"/>
          </w:tcPr>
          <w:p>
            <w:r>
              <w:t>10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Reunión inicial de relevamiento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Entregable del proyecto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Seguimiento posterior (por mes)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Gastos de traslado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Validez del presupuesto: 15 días.</w:t>
      </w:r>
    </w:p>
    <w:p>
      <w:r>
        <w:t>Las horas adicionales se facturan con el valor hora indicado.</w:t>
      </w:r>
    </w:p>
    <w:p>
      <w:r>
        <w:t>Forma de pago: seña al inicio y saldo contra entrega.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