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Relevamiento y especificación funcional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Diseño de interfaz (UI/UX)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Desarrollo de funcionalidades (por hora)</w:t>
            </w:r>
          </w:p>
        </w:tc>
        <w:tc>
          <w:tcPr>
            <w:tcW w:type="dxa" w:w="907"/>
          </w:tcPr>
          <w:p>
            <w:r>
              <w:t>120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Pruebas y corrección de errores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Publicación en tiendas o servidor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Soporte y mantenimiento mensual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cambios de alcance posteriores a la aprobación se cotizan como adicionales.</w:t>
      </w:r>
    </w:p>
    <w:p>
      <w:r>
        <w:t>Los costos de servidores, dominios, licencias y cuentas de desarrollador no están incluidos.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