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Traducción del documento (por palabra)</w:t>
            </w:r>
          </w:p>
        </w:tc>
        <w:tc>
          <w:tcPr>
            <w:tcW w:type="dxa" w:w="907"/>
          </w:tcPr>
          <w:p>
            <w:r>
              <w:t>1000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Revisión y corrección por un segundo profesional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Maquetación o adaptación de formato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Traducción certificada o jurada (por documento)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plazo de entrega corre desde la confirmación y la recepción de los archivos finales.</w:t>
      </w:r>
    </w:p>
    <w:p>
      <w:r>
        <w:t>Los cambios en el texto original después de iniciado el trabajo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