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Flete con vehículo y chofer (por hora)</w:t>
            </w:r>
          </w:p>
        </w:tc>
        <w:tc>
          <w:tcPr>
            <w:tcW w:type="dxa" w:w="907"/>
          </w:tcPr>
          <w:p>
            <w:r>
              <w:t>3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Ayudantes para carga y descarga (por ayudante)</w:t>
            </w:r>
          </w:p>
        </w:tc>
        <w:tc>
          <w:tcPr>
            <w:tcW w:type="dxa" w:w="907"/>
          </w:tcPr>
          <w:p>
            <w:r>
              <w:t>2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Recargo por kilómetros fuera de zona (por km)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Embalaje y materiales de protección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Desarme y armado de muebles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El tiempo se cuenta desde la llegada al domicilio de carga.</w:t>
      </w:r>
    </w:p>
    <w:p>
      <w:r>
        <w:t>No incluye izaje por ventana ni traslado de objetos especiales salvo que se indique.</w:t>
      </w:r>
    </w:p>
    <w:p>
      <w:r>
        <w:t>Pago del saldo al finalizar el servicio.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