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Ventana corrediza de aluminio o PVC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Puerta ventana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Vidrio o doble vidriado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Mosquiteros y persianas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aberturas existentes y 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fabricar.</w:t>
      </w:r>
    </w:p>
    <w:p>
      <w:r>
        <w:t>La colocación no incluye reparación de revoques ni pintura salvo que se indique.</w:t>
      </w:r>
    </w:p>
    <w:p>
      <w:r>
        <w:t>Plazo de fabricación contado desde la aprobación y el pago de la seña.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